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Поиск судебных приказов — инструкция</w:t>
      </w:r>
    </w:p>
    <w:p>
      <w:r>
        <w:t>Раздел «Поиск судебных приказов» на сайте prodolg.pro ищет дела на портале мировых судей Москвы (mos-sud.ru) по списку ответчиков и дописывает в файл номер дела, текущее состояние и стороны. Как именно подбирается дело — на странице «Алгоритм подбора дел» (кнопка на странице раздела).</w:t>
      </w:r>
    </w:p>
    <w:p>
      <w:pPr>
        <w:pStyle w:val="Heading1"/>
      </w:pPr>
      <w:r>
        <w:t>Шаг 1. Заполните список</w:t>
      </w:r>
    </w:p>
    <w:p>
      <w:r>
        <w:t>Скачайте шаблон кнопкой «Шаблон для заполнения» на странице «Поиск судебных приказов», сохраните его под понятным именем, например «Список октябрь.xlsx». Заполняйте лист «Список», по одной строке на заявление, начиная со второй строки. Помещается до 15 000 строк: проверки ввода и форматы колонок настроены на этот объём, делить список на части не нужно.</w:t>
      </w:r>
    </w:p>
    <w:tbl>
      <w:tblPr>
        <w:tblStyle w:val="LightGrid-Accent1"/>
        <w:tblW w:type="auto" w:w="0"/>
        <w:tblLook w:firstColumn="1" w:firstRow="1" w:lastColumn="0" w:lastRow="0" w:noHBand="0" w:noVBand="1" w:val="04A0"/>
      </w:tblPr>
      <w:tblGrid>
        <w:gridCol w:w="3324"/>
        <w:gridCol w:w="3324"/>
        <w:gridCol w:w="3324"/>
      </w:tblGrid>
      <w:tr>
        <w:tc>
          <w:tcPr>
            <w:tcW w:type="dxa" w:w="2268"/>
          </w:tcPr>
          <w:p>
            <w:r>
              <w:t>Колонка</w:t>
            </w:r>
          </w:p>
        </w:tc>
        <w:tc>
          <w:tcPr>
            <w:tcW w:type="dxa" w:w="1304"/>
          </w:tcPr>
          <w:p>
            <w:r>
              <w:t>Обязательно</w:t>
            </w:r>
          </w:p>
        </w:tc>
        <w:tc>
          <w:tcPr>
            <w:tcW w:type="dxa" w:w="6066"/>
          </w:tcPr>
          <w:p>
            <w:r>
              <w:t>Как заполнять</w:t>
            </w:r>
          </w:p>
        </w:tc>
      </w:tr>
      <w:tr>
        <w:tc>
          <w:tcPr>
            <w:tcW w:type="dxa" w:w="2268"/>
          </w:tcPr>
          <w:p>
            <w:r>
              <w:t>Взыскатель</w:t>
            </w:r>
          </w:p>
        </w:tc>
        <w:tc>
          <w:tcPr>
            <w:tcW w:type="dxa" w:w="1304"/>
          </w:tcPr>
          <w:p>
            <w:r>
              <w:t>да</w:t>
            </w:r>
          </w:p>
        </w:tc>
        <w:tc>
          <w:tcPr>
            <w:tcW w:type="dxa" w:w="6066"/>
          </w:tcPr>
          <w:p>
            <w:r>
              <w:t>Название взыскателя. Форма (ООО, ПКО, ГБУ) не важна, сравнивается само название. Сокращения вроде «ФКР» не распознаются — пишите полное название.</w:t>
            </w:r>
          </w:p>
        </w:tc>
      </w:tr>
      <w:tr>
        <w:tc>
          <w:tcPr>
            <w:tcW w:type="dxa" w:w="2268"/>
          </w:tcPr>
          <w:p>
            <w:r>
              <w:t>Судопроизводство</w:t>
            </w:r>
          </w:p>
        </w:tc>
        <w:tc>
          <w:tcPr>
            <w:tcW w:type="dxa" w:w="1304"/>
          </w:tcPr>
          <w:p>
            <w:r>
              <w:t>нет</w:t>
            </w:r>
          </w:p>
        </w:tc>
        <w:tc>
          <w:tcPr>
            <w:tcW w:type="dxa" w:w="6066"/>
          </w:tcPr>
          <w:p>
            <w:r>
              <w:t>Ваш номер заявления, например «Судопроизводство 000007943 от 29.08.2023». Для поиска не используется — переносится в результат как есть, чтобы потом сопоставить данные с вашей системой.</w:t>
            </w:r>
          </w:p>
        </w:tc>
      </w:tr>
      <w:tr>
        <w:tc>
          <w:tcPr>
            <w:tcW w:type="dxa" w:w="2268"/>
          </w:tcPr>
          <w:p>
            <w:r>
              <w:t>Фамилии ответчиков</w:t>
            </w:r>
          </w:p>
        </w:tc>
        <w:tc>
          <w:tcPr>
            <w:tcW w:type="dxa" w:w="1304"/>
          </w:tcPr>
          <w:p>
            <w:r>
              <w:t>да</w:t>
            </w:r>
          </w:p>
        </w:tc>
        <w:tc>
          <w:tcPr>
            <w:tcW w:type="dxa" w:w="6066"/>
          </w:tcPr>
          <w:p>
            <w:r>
              <w:t>Одна или несколько фамилий через запятую: «Иванов, Петрова». С инициалами («Иванов И.И.») поиск точнее: однофамильцы отсеются. С полными именем и отчеством сервис простит опечатку в одну букву в фамилии (у вас или у суда).</w:t>
            </w:r>
          </w:p>
        </w:tc>
      </w:tr>
      <w:tr>
        <w:tc>
          <w:tcPr>
            <w:tcW w:type="dxa" w:w="2268"/>
          </w:tcPr>
          <w:p>
            <w:r>
              <w:t>Дата направления в суд</w:t>
            </w:r>
          </w:p>
        </w:tc>
        <w:tc>
          <w:tcPr>
            <w:tcW w:type="dxa" w:w="1304"/>
          </w:tcPr>
          <w:p>
            <w:r>
              <w:t>да</w:t>
            </w:r>
          </w:p>
        </w:tc>
        <w:tc>
          <w:tcPr>
            <w:tcW w:type="dxa" w:w="6066"/>
          </w:tcPr>
          <w:p>
            <w:r>
              <w:t>Дата подачи заявления, ДД.ММ.ГГГГ (не период долга). Сервис ищет дела, поступившие в суд в эту дату или позже, без ограничения сроком: суд может зарегистрировать заявление и через год.</w:t>
            </w:r>
          </w:p>
        </w:tc>
      </w:tr>
      <w:tr>
        <w:tc>
          <w:tcPr>
            <w:tcW w:type="dxa" w:w="2268"/>
          </w:tcPr>
          <w:p>
            <w:r>
              <w:t>Дата оплаты ГП</w:t>
            </w:r>
          </w:p>
        </w:tc>
        <w:tc>
          <w:tcPr>
            <w:tcW w:type="dxa" w:w="1304"/>
          </w:tcPr>
          <w:p>
            <w:r>
              <w:t>нет</w:t>
            </w:r>
          </w:p>
        </w:tc>
        <w:tc>
          <w:tcPr>
            <w:tcW w:type="dxa" w:w="6066"/>
          </w:tcPr>
          <w:p>
            <w:r>
              <w:t>Дата платёжного поручения об оплате госпошлины, ДД.ММ.ГГГГ. При зачёте госпошлины — пусто. Помогает точно отличить одно дело от другого, см. «Сверка по дате оплаты ГП».</w:t>
            </w:r>
          </w:p>
        </w:tc>
      </w:tr>
      <w:tr>
        <w:tc>
          <w:tcPr>
            <w:tcW w:type="dxa" w:w="2268"/>
          </w:tcPr>
          <w:p>
            <w:r>
              <w:t>№ судебного участка</w:t>
            </w:r>
          </w:p>
        </w:tc>
        <w:tc>
          <w:tcPr>
            <w:tcW w:type="dxa" w:w="1304"/>
          </w:tcPr>
          <w:p>
            <w:r>
              <w:t>да</w:t>
            </w:r>
          </w:p>
        </w:tc>
        <w:tc>
          <w:tcPr>
            <w:tcW w:type="dxa" w:w="6066"/>
          </w:tcPr>
          <w:p>
            <w:r>
              <w:t>Число (354) или название, как в заявлении: «Мировому судье судебного участка № 354 района Коптево г. Москвы», «Судебный участок № 452 г. Москвы». Сервис берёт число после «№».</w:t>
            </w:r>
          </w:p>
        </w:tc>
      </w:tr>
      <w:tr>
        <w:tc>
          <w:tcPr>
            <w:tcW w:type="dxa" w:w="2268"/>
          </w:tcPr>
          <w:p>
            <w:r>
              <w:t>№ судебного дела</w:t>
            </w:r>
          </w:p>
        </w:tc>
        <w:tc>
          <w:tcPr>
            <w:tcW w:type="dxa" w:w="1304"/>
          </w:tcPr>
          <w:p>
            <w:r>
              <w:t>нет</w:t>
            </w:r>
          </w:p>
        </w:tc>
        <w:tc>
          <w:tcPr>
            <w:tcW w:type="dxa" w:w="6066"/>
          </w:tcPr>
          <w:p>
            <w:r>
              <w:t>Если известен — сервис просто берёт по этому номеру текущее состояние и стороны, не сверяя их с ответчиками и взыскателем строки. Подходят оба вида: 02-1234/468/2026 и М-38078/468/2026. Если номер на сайте не найден, дело ищется как обычно — по ответчикам.</w:t>
            </w:r>
          </w:p>
        </w:tc>
      </w:tr>
    </w:tbl>
    <w:p/>
    <w:p>
      <w:r>
        <w:t>Голубые колонки заполняете вы, серые заполняет сервис. Не меняйте названия колонок и не вставляйте строки над заголовком. Подсказки и примеры — на листе «Как заполнять» в самом шаблоне.</w:t>
      </w:r>
    </w:p>
    <w:p>
      <w:pPr>
        <w:pStyle w:val="Heading2"/>
      </w:pPr>
      <w:r>
        <w:t>Лист «Ранее поданные дела»</w:t>
      </w:r>
    </w:p>
    <w:p>
      <w:r>
        <w:t>Сюда, в колонку «Номера дел», впишите номера дел, которые уже известны, — по одному в ячейку, начиная со второй строки. Сервис такие дела в результат не подставляет и ищет только новые. Можно писать любой из номеров дела: и «02-2983/468/2026», и «М-34317/468/2026»; ведущий ноль и латинская «M» вместо русской не мешают. Номер без участка («2-1234/2024», «2-1234/24») считается известным по номеру и году на любом участке: дело 02-1234/348/2024 будет отброшено. Номера исполнительных листов («ВС № …», «ФС № …») не учитываются. Если все подходящие дела уже есть на этом листе, в строке будет «Не найдено» с пояснением, какие дела отброшены.</w:t>
      </w:r>
    </w:p>
    <w:p>
      <w:pPr>
        <w:pStyle w:val="Heading2"/>
      </w:pPr>
      <w:r>
        <w:t>Сверка по дате оплаты ГП</w:t>
      </w:r>
    </w:p>
    <w:p>
      <w:r>
        <w:t>Суд при регистрации указывает дату платёжного поручения: в карточке дела на сайте, на вкладке «Документы», есть запись «Квитанция об оплате госпошлины» с датой. Если в строке заполнена «Дата оплаты ГП», сервис сверяет:</w:t>
      </w:r>
    </w:p>
    <w:p>
      <w:pPr>
        <w:pStyle w:val="ListBullet"/>
      </w:pPr>
      <w:r>
        <w:rPr>
          <w:b/>
        </w:rPr>
        <w:t xml:space="preserve">Даты совпали — </w:t>
      </w:r>
      <w:r>
        <w:t>дело точно этой строки. В «Результате поиска»: «Найдено, совпала дата оплаты ГП».</w:t>
      </w:r>
    </w:p>
    <w:p>
      <w:pPr>
        <w:pStyle w:val="ListBullet"/>
      </w:pPr>
      <w:r>
        <w:rPr>
          <w:b/>
        </w:rPr>
        <w:t xml:space="preserve">Дата на сайте раньше вашей — </w:t>
      </w:r>
      <w:r>
        <w:t>дело точно другое, этой строке оно не достанется.</w:t>
      </w:r>
    </w:p>
    <w:p>
      <w:pPr>
        <w:pStyle w:val="ListBullet"/>
      </w:pPr>
      <w:r>
        <w:rPr>
          <w:b/>
        </w:rPr>
        <w:t xml:space="preserve">Дата на сайте позже вашей — </w:t>
      </w:r>
      <w:r>
        <w:t>ничего не значит (суд мог ошибиться), дело остаётся среди подходящих.</w:t>
      </w:r>
    </w:p>
    <w:p>
      <w:pPr>
        <w:pStyle w:val="ListBullet"/>
      </w:pPr>
      <w:r>
        <w:rPr>
          <w:b/>
        </w:rPr>
        <w:t xml:space="preserve">Строки без даты оплаты (зачёт госпошлины) </w:t>
      </w:r>
      <w:r>
        <w:t>получают оставшиеся дела методом исключения: сначала дела отдаются строкам с совпавшей датой, остальное распределяется по датам направления.</w:t>
      </w:r>
    </w:p>
    <w:p>
      <w:r>
        <w:t>Карточка дела на сайте открывается долго, около 20 секунд, поэтому сервис открывает её только когда нужно: есть дата оплаты ГП, одинаковые строки или несколько подходящих дел. Карточки открываются по четыре одновременно.</w:t>
      </w:r>
    </w:p>
    <w:p>
      <w:pPr>
        <w:pStyle w:val="Heading2"/>
      </w:pPr>
      <w:r>
        <w:t>Одинаковые строки и несколько дел</w:t>
      </w:r>
    </w:p>
    <w:p>
      <w:pPr>
        <w:pStyle w:val="ListBullet"/>
      </w:pPr>
      <w:r>
        <w:rPr>
          <w:b/>
        </w:rPr>
        <w:t xml:space="preserve">Несколько строк с одними и теми же ответчиками, взыскателем и участком </w:t>
      </w:r>
      <w:r>
        <w:t>(например, повторные заявления с разными датами) обрабатываются вместе. Каждое найденное дело достаётся только одной строке — самой ранней по дате направления из тех, после которых дело поступило в суд. Строке, которой дела не хватило, пишется «Не найдено».</w:t>
      </w:r>
    </w:p>
    <w:p>
      <w:pPr>
        <w:pStyle w:val="ListBullet"/>
      </w:pPr>
      <w:r>
        <w:rPr>
          <w:b/>
        </w:rPr>
        <w:t xml:space="preserve">Пример: </w:t>
      </w:r>
      <w:r>
        <w:t>две строки «Иванов / МинДолг» с датами 01.09 и 15.09, на сайте одно дело — оно запишется в строку от 01.09, в строке от 15.09 будет «Не найдено».</w:t>
      </w:r>
    </w:p>
    <w:p>
      <w:pPr>
        <w:pStyle w:val="ListBullet"/>
      </w:pPr>
      <w:r>
        <w:rPr>
          <w:b/>
        </w:rPr>
        <w:t xml:space="preserve">Если одной строке подходят несколько дел, </w:t>
      </w:r>
      <w:r>
        <w:t>в результат пишутся все через «или»: «М-1/468/2026 или М-2/468/2026». В «Результате поиска» будет «Подходит несколько дел (N) — проверить».</w:t>
      </w:r>
    </w:p>
    <w:p>
      <w:pPr>
        <w:pStyle w:val="ListBullet"/>
      </w:pPr>
      <w:r>
        <w:rPr>
          <w:b/>
        </w:rPr>
        <w:t xml:space="preserve">Строки считаются одинаковыми по фамилиям, </w:t>
      </w:r>
      <w:r>
        <w:t>даже если в одной указаны инициалы, а в другой нет. Инициалы проверяются для каждой строки: дело другого Иванова строке «Иванов И.И.» не достанется.</w:t>
      </w:r>
    </w:p>
    <w:p>
      <w:pPr>
        <w:pStyle w:val="Heading1"/>
      </w:pPr>
      <w:r>
        <w:t>Шаг 2. Загрузите файл</w:t>
      </w:r>
    </w:p>
    <w:p>
      <w:pPr>
        <w:pStyle w:val="ListNumber"/>
      </w:pPr>
      <w:r>
        <w:t>Откройте prodolg.pro → «Поиск судебных приказов».</w:t>
      </w:r>
    </w:p>
    <w:p>
      <w:pPr>
        <w:pStyle w:val="ListNumber"/>
      </w:pPr>
      <w:r>
        <w:t>Нажмите «Выберите файл» или перетащите заполненный шаблон в это поле.</w:t>
      </w:r>
    </w:p>
    <w:p>
      <w:pPr>
        <w:pStyle w:val="ListNumber"/>
      </w:pPr>
      <w:r>
        <w:t>Слева появится карточка файла: состояние («В очереди», «Идёт работа», «Готово»), сколько строк готово и примерно сколько осталось. Справа, в окне «Ход работы», — сообщения по каждой строке.</w:t>
      </w:r>
    </w:p>
    <w:p>
      <w:r>
        <w:t>Файлы обрабатываются по одному: если в работе уже есть чужой файл, ваш встанет в очередь — это видно по «В очереди · 2-й». Сколько ждать: сайт суда отвечает медленно — поиск около 15 секунд, карточка дела около 20 секунд; сервис обрабатывает 4 строки одновременно. 25 строк с датой оплаты ГП — около 6 минут, 1000 строк — ориентировочно 3–4 часа.</w:t>
      </w:r>
    </w:p>
    <w:p>
      <w:pPr>
        <w:pStyle w:val="Heading1"/>
      </w:pPr>
      <w:r>
        <w:t>Результат, остановка, удаление</w:t>
      </w:r>
    </w:p>
    <w:p>
      <w:pPr>
        <w:pStyle w:val="ListBullet"/>
      </w:pPr>
      <w:r>
        <w:rPr>
          <w:b/>
        </w:rPr>
        <w:t xml:space="preserve">Скачать найденное / Скачать результат. </w:t>
      </w:r>
      <w:r>
        <w:t>Результат сохраняется раз в минуту и в конце работы, скачать его можно в любой момент — и во время работы, и после.</w:t>
      </w:r>
    </w:p>
    <w:p>
      <w:pPr>
        <w:pStyle w:val="ListBullet"/>
      </w:pPr>
      <w:r>
        <w:rPr>
          <w:b/>
        </w:rPr>
        <w:t xml:space="preserve">Вкладку можно закрыть. </w:t>
      </w:r>
      <w:r>
        <w:t>Работа идёт на сервере. Вернувшись на страницу в том же браузере, вы снова увидите свой файл.</w:t>
      </w:r>
    </w:p>
    <w:p>
      <w:pPr>
        <w:pStyle w:val="ListBullet"/>
      </w:pPr>
      <w:r>
        <w:rPr>
          <w:b/>
        </w:rPr>
        <w:t xml:space="preserve">Остановить. </w:t>
      </w:r>
      <w:r>
        <w:t>Обработка прекращается, найденное сохраняется. «Продолжить» — продолжит со следующей необработанной строки.</w:t>
      </w:r>
    </w:p>
    <w:p>
      <w:pPr>
        <w:pStyle w:val="ListBullet"/>
      </w:pPr>
      <w:r>
        <w:rPr>
          <w:b/>
        </w:rPr>
        <w:t xml:space="preserve">Удалить файлы. </w:t>
      </w:r>
      <w:r>
        <w:t>Загруженный файл, результат и журнал удаляются с сервера сразу и безвозвратно. Если поиск ещё идёт — он сначала останавливается.</w:t>
      </w:r>
    </w:p>
    <w:p>
      <w:pPr>
        <w:pStyle w:val="ListBullet"/>
      </w:pPr>
      <w:r>
        <w:rPr>
          <w:b/>
        </w:rPr>
        <w:t xml:space="preserve">Сколько хранится. </w:t>
      </w:r>
      <w:r>
        <w:t>Готовые и остановленные файлы удаляются автоматически через 24 часа. Скачайте результат заранее.</w:t>
      </w:r>
    </w:p>
    <w:p>
      <w:pPr>
        <w:pStyle w:val="ListBullet"/>
      </w:pPr>
      <w:r>
        <w:rPr>
          <w:b/>
        </w:rPr>
        <w:t xml:space="preserve">Если сайт суда перестал отвечать, </w:t>
      </w:r>
      <w:r>
        <w:t>сервис ставит паузу и сам продолжает через 30 минут — ничего делать не нужно.</w:t>
      </w:r>
    </w:p>
    <w:p>
      <w:pPr>
        <w:pStyle w:val="Heading1"/>
      </w:pPr>
      <w:r>
        <w:t>Кто видит ваши файлы</w:t>
      </w:r>
    </w:p>
    <w:p>
      <w:r>
        <w:t>Только вы — точнее, браузер, в котором файл загружен. При загрузке браузер получает секретный ключ, и без него файл не открыть и не скачать, даже зная его номер. Поэтому:</w:t>
      </w:r>
    </w:p>
    <w:p>
      <w:pPr>
        <w:pStyle w:val="ListBullet"/>
      </w:pPr>
      <w:r>
        <w:t>с другого компьютера или из другого браузера свой файл не увидеть;</w:t>
      </w:r>
    </w:p>
    <w:p>
      <w:pPr>
        <w:pStyle w:val="ListBullet"/>
      </w:pPr>
      <w:r>
        <w:t>в режиме инкогнито или если браузер стирает данные при закрытии — скачайте результат до закрытия браузера;</w:t>
      </w:r>
    </w:p>
    <w:p>
      <w:pPr>
        <w:pStyle w:val="ListBullet"/>
      </w:pPr>
      <w:r>
        <w:t>если несколько человек работают в одном профиле браузера, они видят файлы друг друга.</w:t>
      </w:r>
    </w:p>
    <w:p>
      <w:pPr>
        <w:pStyle w:val="Heading1"/>
      </w:pPr>
      <w:r>
        <w:t>Что будет в результате</w:t>
      </w:r>
    </w:p>
    <w:tbl>
      <w:tblPr>
        <w:tblStyle w:val="LightGrid-Accent1"/>
        <w:tblW w:type="auto" w:w="0"/>
        <w:tblLook w:firstColumn="1" w:firstRow="1" w:lastColumn="0" w:lastRow="0" w:noHBand="0" w:noVBand="1" w:val="04A0"/>
      </w:tblPr>
      <w:tblGrid>
        <w:gridCol w:w="4986"/>
        <w:gridCol w:w="4986"/>
      </w:tblGrid>
      <w:tr>
        <w:tc>
          <w:tcPr>
            <w:tcW w:type="dxa" w:w="2551"/>
          </w:tcPr>
          <w:p>
            <w:r>
              <w:t>Колонка</w:t>
            </w:r>
          </w:p>
        </w:tc>
        <w:tc>
          <w:tcPr>
            <w:tcW w:type="dxa" w:w="7087"/>
          </w:tcPr>
          <w:p>
            <w:r>
              <w:t>Что в ней</w:t>
            </w:r>
          </w:p>
        </w:tc>
      </w:tr>
      <w:tr>
        <w:tc>
          <w:tcPr>
            <w:tcW w:type="dxa" w:w="2551"/>
          </w:tcPr>
          <w:p>
            <w:r>
              <w:t>Номер дела</w:t>
            </w:r>
          </w:p>
        </w:tc>
        <w:tc>
          <w:tcPr>
            <w:tcW w:type="dxa" w:w="7087"/>
          </w:tcPr>
          <w:p>
            <w:r>
              <w:t>Номер дела, как в судебном приказе: «02-2983/468/2026» (без номера материала). Если делу ещё не присвоен номер, — номер материала «М-34317/468/2026».</w:t>
            </w:r>
          </w:p>
        </w:tc>
      </w:tr>
      <w:tr>
        <w:tc>
          <w:tcPr>
            <w:tcW w:type="dxa" w:w="2551"/>
          </w:tcPr>
          <w:p>
            <w:r>
              <w:t>Текущее состояние</w:t>
            </w:r>
          </w:p>
        </w:tc>
        <w:tc>
          <w:tcPr>
            <w:tcW w:type="dxa" w:w="7087"/>
          </w:tcPr>
          <w:p>
            <w:r>
              <w:t>Например «Зарегистрировано (01.10.2026)», «Вступило в силу, 27.06.2026».</w:t>
            </w:r>
          </w:p>
        </w:tc>
      </w:tr>
      <w:tr>
        <w:tc>
          <w:tcPr>
            <w:tcW w:type="dxa" w:w="2551"/>
          </w:tcPr>
          <w:p>
            <w:r>
              <w:t>Стороны</w:t>
            </w:r>
          </w:p>
        </w:tc>
        <w:tc>
          <w:tcPr>
            <w:tcW w:type="dxa" w:w="7087"/>
          </w:tcPr>
          <w:p>
            <w:r>
              <w:t>Истец / взыскатель и ответчики / должники, как на сайте.</w:t>
            </w:r>
          </w:p>
        </w:tc>
      </w:tr>
      <w:tr>
        <w:tc>
          <w:tcPr>
            <w:tcW w:type="dxa" w:w="2551"/>
          </w:tcPr>
          <w:p>
            <w:r>
              <w:t>Ссылка</w:t>
            </w:r>
          </w:p>
        </w:tc>
        <w:tc>
          <w:tcPr>
            <w:tcW w:type="dxa" w:w="7087"/>
          </w:tcPr>
          <w:p>
            <w:r>
              <w:t>Ссылка на карточку дела на сайте.</w:t>
            </w:r>
          </w:p>
        </w:tc>
      </w:tr>
      <w:tr>
        <w:tc>
          <w:tcPr>
            <w:tcW w:type="dxa" w:w="2551"/>
          </w:tcPr>
          <w:p>
            <w:r>
              <w:t>Результат поиска</w:t>
            </w:r>
          </w:p>
        </w:tc>
        <w:tc>
          <w:tcPr>
            <w:tcW w:type="dxa" w:w="7087"/>
          </w:tcPr>
          <w:p>
            <w:r>
              <w:t>Насколько можно доверять найденному — см. ниже.</w:t>
            </w:r>
          </w:p>
        </w:tc>
      </w:tr>
      <w:tr>
        <w:tc>
          <w:tcPr>
            <w:tcW w:type="dxa" w:w="2551"/>
          </w:tcPr>
          <w:p>
            <w:r>
              <w:t>Дата вынесения</w:t>
            </w:r>
          </w:p>
        </w:tc>
        <w:tc>
          <w:tcPr>
            <w:tcW w:type="dxa" w:w="7087"/>
          </w:tcPr>
          <w:p>
            <w:r>
              <w:t>Только если отмечен флажок «Заполнять дату вынесения»: «Дата рассмотрения дела в первой инстанции» из карточки дела — для приказа это дата его вынесения.</w:t>
            </w:r>
          </w:p>
        </w:tc>
      </w:tr>
      <w:tr>
        <w:tc>
          <w:tcPr>
            <w:tcW w:type="dxa" w:w="2551"/>
          </w:tcPr>
          <w:p>
            <w:r>
              <w:t>Дата вступления в силу</w:t>
            </w:r>
          </w:p>
        </w:tc>
        <w:tc>
          <w:tcPr>
            <w:tcW w:type="dxa" w:w="7087"/>
          </w:tcPr>
          <w:p>
            <w:r>
              <w:t>Только если отмечен флажок «Заполнять дату вступления в силу». Пусто, если приказ ещё не вступил в силу или отменён — причина видна в «Текущем состоянии».</w:t>
            </w:r>
          </w:p>
        </w:tc>
      </w:tr>
    </w:tbl>
    <w:p/>
    <w:p>
      <w:r>
        <w:t>Если подходящих дел несколько, в ячейки выводятся все через «или» — номера, состояния, стороны, ссылки и даты в одном порядке. Найти своё судопроизводство по любому из этих номеров можно поиском со звёздочками. ВПР здесь не подойдёт: колонка «Судопроизводство» левее номера дела. Формула, если номер приказа в ячейке A2, а результат — на листе «Список»: =ИНДЕКС(Список!B:B; ПОИСКПОЗ("*"&amp;A2&amp;"*"; Список!H:H; 0)).</w:t>
      </w:r>
    </w:p>
    <w:p>
      <w:r>
        <w:t>Даты берутся из карточки дела, а она открывается около 20 секунд, поэтому с флажками дат поиск идёт дольше — ориентировочно на 1–1,5 часа на 1000 строк.</w:t>
      </w:r>
    </w:p>
    <w:p>
      <w:pPr>
        <w:pStyle w:val="Heading2"/>
      </w:pPr>
      <w:r>
        <w:t>Значения колонки «Результат поиска»</w:t>
      </w:r>
    </w:p>
    <w:tbl>
      <w:tblPr>
        <w:tblStyle w:val="LightGrid-Accent1"/>
        <w:tblW w:type="auto" w:w="0"/>
        <w:tblLook w:firstColumn="1" w:firstRow="1" w:lastColumn="0" w:lastRow="0" w:noHBand="0" w:noVBand="1" w:val="04A0"/>
      </w:tblPr>
      <w:tblGrid>
        <w:gridCol w:w="4986"/>
        <w:gridCol w:w="4986"/>
      </w:tblGrid>
      <w:tr>
        <w:tc>
          <w:tcPr>
            <w:tcW w:type="dxa" w:w="3685"/>
          </w:tcPr>
          <w:p>
            <w:r>
              <w:t>Значение</w:t>
            </w:r>
          </w:p>
        </w:tc>
        <w:tc>
          <w:tcPr>
            <w:tcW w:type="dxa" w:w="5953"/>
          </w:tcPr>
          <w:p>
            <w:r>
              <w:t>Что значит и что делать</w:t>
            </w:r>
          </w:p>
        </w:tc>
      </w:tr>
      <w:tr>
        <w:tc>
          <w:tcPr>
            <w:tcW w:type="dxa" w:w="3685"/>
          </w:tcPr>
          <w:p>
            <w:r>
              <w:t>Найдено</w:t>
            </w:r>
          </w:p>
        </w:tc>
        <w:tc>
          <w:tcPr>
            <w:tcW w:type="dxa" w:w="5953"/>
          </w:tcPr>
          <w:p>
            <w:r>
              <w:t>Найдено ровно одно дело: совпали все ответчики, взыскатель и участок, дело поступило после даты направления.</w:t>
            </w:r>
          </w:p>
        </w:tc>
      </w:tr>
      <w:tr>
        <w:tc>
          <w:tcPr>
            <w:tcW w:type="dxa" w:w="3685"/>
          </w:tcPr>
          <w:p>
            <w:r>
              <w:t>Найдено, совпала дата оплаты ГП</w:t>
            </w:r>
          </w:p>
        </w:tc>
        <w:tc>
          <w:tcPr>
            <w:tcW w:type="dxa" w:w="5953"/>
          </w:tcPr>
          <w:p>
            <w:r>
              <w:t>Дата квитанции о госпошлине в карточке дела совпала с вашей датой оплаты ГП — самое надёжное совпадение без номера дела.</w:t>
            </w:r>
          </w:p>
        </w:tc>
      </w:tr>
      <w:tr>
        <w:tc>
          <w:tcPr>
            <w:tcW w:type="dxa" w:w="3685"/>
          </w:tcPr>
          <w:p>
            <w:r>
              <w:t>Совпала дата оплаты ГП у нескольких дел (N) — проверить</w:t>
            </w:r>
          </w:p>
        </w:tc>
        <w:tc>
          <w:tcPr>
            <w:tcW w:type="dxa" w:w="5953"/>
          </w:tcPr>
          <w:p>
            <w:r>
              <w:t>Одна и та же дата квитанции у нескольких дел; выберите нужное по ссылкам.</w:t>
            </w:r>
          </w:p>
        </w:tc>
      </w:tr>
      <w:tr>
        <w:tc>
          <w:tcPr>
            <w:tcW w:type="dxa" w:w="3685"/>
          </w:tcPr>
          <w:p>
            <w:r>
              <w:t>Найдено по номеру дела</w:t>
            </w:r>
          </w:p>
        </w:tc>
        <w:tc>
          <w:tcPr>
            <w:tcW w:type="dxa" w:w="5953"/>
          </w:tcPr>
          <w:p>
            <w:r>
              <w:t>Состояние взято по указанному номеру дела (стороны со строкой не сверяются).</w:t>
            </w:r>
          </w:p>
        </w:tc>
      </w:tr>
      <w:tr>
        <w:tc>
          <w:tcPr>
            <w:tcW w:type="dxa" w:w="3685"/>
          </w:tcPr>
          <w:p>
            <w:r>
              <w:t>… состав ответчиков на сайте отличается — проверить</w:t>
            </w:r>
          </w:p>
        </w:tc>
        <w:tc>
          <w:tcPr>
            <w:tcW w:type="dxa" w:w="5953"/>
          </w:tcPr>
          <w:p>
            <w:r>
              <w:t>Дела со всеми ответчиками строки нет; найдено дело, где совпала хотя бы половина ответчиков (суд иногда указывает не всех). Такое дело принимается только при точном совпадении даты оплаты ГП.</w:t>
            </w:r>
          </w:p>
        </w:tc>
      </w:tr>
      <w:tr>
        <w:tc>
          <w:tcPr>
            <w:tcW w:type="dxa" w:w="3685"/>
          </w:tcPr>
          <w:p>
            <w:r>
              <w:t>Подходит несколько дел (N) — проверить</w:t>
            </w:r>
          </w:p>
        </w:tc>
        <w:tc>
          <w:tcPr>
            <w:tcW w:type="dxa" w:w="5953"/>
          </w:tcPr>
          <w:p>
            <w:r>
              <w:t>Строке подходят несколько дел, они записаны через «или». Например, у одного должника несколько дел с одним взыскателем. Выберите нужное по ссылкам.</w:t>
            </w:r>
          </w:p>
        </w:tc>
      </w:tr>
      <w:tr>
        <w:tc>
          <w:tcPr>
            <w:tcW w:type="dxa" w:w="3685"/>
          </w:tcPr>
          <w:p>
            <w:r>
              <w:t>Ответчик найден, взыскатель не совпал — проверить</w:t>
            </w:r>
          </w:p>
        </w:tc>
        <w:tc>
          <w:tcPr>
            <w:tcW w:type="dxa" w:w="5953"/>
          </w:tcPr>
          <w:p>
            <w:r>
              <w:t>Ответчик есть, а название взыскателя совпало лишь частично. Проверьте по ссылке. Дела совсем других взыскателей (ИФНС, «Жилищник» и т. п.) не показываются. Дела «13-…» (дубликат приказа, восстановление срока и т. п. по уже рассмотренному делу) при поиске по ответчикам не учитываются.</w:t>
            </w:r>
          </w:p>
        </w:tc>
      </w:tr>
      <w:tr>
        <w:tc>
          <w:tcPr>
            <w:tcW w:type="dxa" w:w="3685"/>
          </w:tcPr>
          <w:p>
            <w:r>
              <w:t>… на сайте N записей, просмотрено M — укажите инициалы</w:t>
            </w:r>
          </w:p>
        </w:tc>
        <w:tc>
          <w:tcPr>
            <w:tcW w:type="dxa" w:w="5953"/>
          </w:tcPr>
          <w:p>
            <w:r>
              <w:t>Слишком частая фамилия: на сайте больше результатов, чем сервис смог просмотреть.</w:t>
            </w:r>
          </w:p>
        </w:tc>
      </w:tr>
      <w:tr>
        <w:tc>
          <w:tcPr>
            <w:tcW w:type="dxa" w:w="3685"/>
          </w:tcPr>
          <w:p>
            <w:r>
              <w:t>… участок № N не найден на сайте</w:t>
            </w:r>
          </w:p>
        </w:tc>
        <w:tc>
          <w:tcPr>
            <w:tcW w:type="dxa" w:w="5953"/>
          </w:tcPr>
          <w:p>
            <w:r>
              <w:t>Номер участка указан с ошибкой; искали по всем участкам.</w:t>
            </w:r>
          </w:p>
        </w:tc>
      </w:tr>
      <w:tr>
        <w:tc>
          <w:tcPr>
            <w:tcW w:type="dxa" w:w="3685"/>
          </w:tcPr>
          <w:p>
            <w:r>
              <w:t>Не найдено</w:t>
            </w:r>
          </w:p>
        </w:tc>
        <w:tc>
          <w:tcPr>
            <w:tcW w:type="dxa" w:w="5953"/>
          </w:tcPr>
          <w:p>
            <w:r>
              <w:t>Подходящего нового дела нет: дело ещё не появилось на сайте, данные в строке не совпадают с сайтом или единственное подходящее дело досталось одинаковой строке с более ранней датой. Проверьте фамилию, участок, дату.</w:t>
            </w:r>
          </w:p>
        </w:tc>
      </w:tr>
      <w:tr>
        <w:tc>
          <w:tcPr>
            <w:tcW w:type="dxa" w:w="3685"/>
          </w:tcPr>
          <w:p>
            <w:r>
              <w:t>Не найдено (подходящие дела уже есть на листе «Ранее поданные дела»: …)</w:t>
            </w:r>
          </w:p>
        </w:tc>
        <w:tc>
          <w:tcPr>
            <w:tcW w:type="dxa" w:w="5953"/>
          </w:tcPr>
          <w:p>
            <w:r>
              <w:t>Подходящие дела есть, но все они уже записаны на листе «Ранее поданные дела».</w:t>
            </w:r>
          </w:p>
        </w:tc>
      </w:tr>
      <w:tr>
        <w:tc>
          <w:tcPr>
            <w:tcW w:type="dxa" w:w="3685"/>
          </w:tcPr>
          <w:p>
            <w:r>
              <w:t>Не указаны ответчики</w:t>
            </w:r>
          </w:p>
        </w:tc>
        <w:tc>
          <w:tcPr>
            <w:tcW w:type="dxa" w:w="5953"/>
          </w:tcPr>
          <w:p>
            <w:r>
              <w:t>В строке нет ни фамилий, ни номера дела. «нет данных» и «Абонент» фамилией не считаются.</w:t>
            </w:r>
          </w:p>
        </w:tc>
      </w:tr>
    </w:tbl>
    <w:p/>
    <w:p>
      <w:pPr>
        <w:pStyle w:val="Heading1"/>
      </w:pPr>
      <w:r>
        <w:t>Если что-то пошло не так</w:t>
      </w:r>
    </w:p>
    <w:tbl>
      <w:tblPr>
        <w:tblStyle w:val="LightGrid-Accent1"/>
        <w:tblW w:type="auto" w:w="0"/>
        <w:tblLook w:firstColumn="1" w:firstRow="1" w:lastColumn="0" w:lastRow="0" w:noHBand="0" w:noVBand="1" w:val="04A0"/>
      </w:tblPr>
      <w:tblGrid>
        <w:gridCol w:w="4986"/>
        <w:gridCol w:w="4986"/>
      </w:tblGrid>
      <w:tr>
        <w:tc>
          <w:tcPr>
            <w:tcW w:type="dxa" w:w="3685"/>
          </w:tcPr>
          <w:p>
            <w:r>
              <w:t>Что видно</w:t>
            </w:r>
          </w:p>
        </w:tc>
        <w:tc>
          <w:tcPr>
            <w:tcW w:type="dxa" w:w="5953"/>
          </w:tcPr>
          <w:p>
            <w:r>
              <w:t>Что делать</w:t>
            </w:r>
          </w:p>
        </w:tc>
      </w:tr>
      <w:tr>
        <w:tc>
          <w:tcPr>
            <w:tcW w:type="dxa" w:w="3685"/>
          </w:tcPr>
          <w:p>
            <w:r>
              <w:t>«Нужен файл Excel в формате .xlsx»</w:t>
            </w:r>
          </w:p>
        </w:tc>
        <w:tc>
          <w:tcPr>
            <w:tcW w:type="dxa" w:w="5953"/>
          </w:tcPr>
          <w:p>
            <w:r>
              <w:t>Загружается не тот файл: нужен заполненный шаблон .xlsx.</w:t>
            </w:r>
          </w:p>
        </w:tc>
      </w:tr>
      <w:tr>
        <w:tc>
          <w:tcPr>
            <w:tcW w:type="dxa" w:w="3685"/>
          </w:tcPr>
          <w:p>
            <w:r>
              <w:t>В «Ходе работы» — «Не нашёл колонки: …», состояние «Ошибка»</w:t>
            </w:r>
          </w:p>
        </w:tc>
        <w:tc>
          <w:tcPr>
            <w:tcW w:type="dxa" w:w="5953"/>
          </w:tcPr>
          <w:p>
            <w:r>
              <w:t>В файле изменены названия колонок. Возьмите свежий шаблон и перенесите данные.</w:t>
            </w:r>
          </w:p>
        </w:tc>
      </w:tr>
      <w:tr>
        <w:tc>
          <w:tcPr>
            <w:tcW w:type="dxa" w:w="3685"/>
          </w:tcPr>
          <w:p>
            <w:r>
              <w:t>Состояние «Пауза», «Сайт суда перестал отвечать…»</w:t>
            </w:r>
          </w:p>
        </w:tc>
        <w:tc>
          <w:tcPr>
            <w:tcW w:type="dxa" w:w="5953"/>
          </w:tcPr>
          <w:p>
            <w:r>
              <w:t>Ничего: сервис продолжит сам в указанное время.</w:t>
            </w:r>
          </w:p>
        </w:tc>
      </w:tr>
      <w:tr>
        <w:tc>
          <w:tcPr>
            <w:tcW w:type="dxa" w:w="3685"/>
          </w:tcPr>
          <w:p>
            <w:r>
              <w:t>Файл пропал со страницы</w:t>
            </w:r>
          </w:p>
        </w:tc>
        <w:tc>
          <w:tcPr>
            <w:tcW w:type="dxa" w:w="5953"/>
          </w:tcPr>
          <w:p>
            <w:r>
              <w:t>Прошло больше 24 часов, файл удалён кнопкой или открыт другой браузер. Загрузите файл заново.</w:t>
            </w:r>
          </w:p>
        </w:tc>
      </w:tr>
    </w:tbl>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